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D7" w:rsidRPr="001460AE" w:rsidRDefault="00EE7F31" w:rsidP="00B3438C">
      <w:pPr>
        <w:rPr>
          <w:rFonts w:ascii="Calibri" w:hAnsi="Calibri"/>
          <w:b/>
          <w:sz w:val="44"/>
          <w:szCs w:val="44"/>
        </w:rPr>
      </w:pPr>
      <w:r>
        <w:rPr>
          <w:noProof/>
          <w:sz w:val="44"/>
          <w:szCs w:val="44"/>
        </w:rPr>
        <w:drawing>
          <wp:anchor distT="0" distB="0" distL="114300" distR="114300" simplePos="0" relativeHeight="251657728" behindDoc="0" locked="0" layoutInCell="1" allowOverlap="1">
            <wp:simplePos x="0" y="0"/>
            <wp:positionH relativeFrom="column">
              <wp:posOffset>41910</wp:posOffset>
            </wp:positionH>
            <wp:positionV relativeFrom="paragraph">
              <wp:posOffset>-65405</wp:posOffset>
            </wp:positionV>
            <wp:extent cx="809625" cy="1600835"/>
            <wp:effectExtent l="1905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09625" cy="1600835"/>
                    </a:xfrm>
                    <a:prstGeom prst="rect">
                      <a:avLst/>
                    </a:prstGeom>
                    <a:noFill/>
                  </pic:spPr>
                </pic:pic>
              </a:graphicData>
            </a:graphic>
          </wp:anchor>
        </w:drawing>
      </w:r>
      <w:r w:rsidR="00B3438C">
        <w:rPr>
          <w:rFonts w:ascii="Calibri" w:hAnsi="Calibri"/>
          <w:b/>
          <w:sz w:val="44"/>
          <w:szCs w:val="44"/>
        </w:rPr>
        <w:t xml:space="preserve">           </w:t>
      </w:r>
      <w:r w:rsidR="009F4239" w:rsidRPr="001460AE">
        <w:rPr>
          <w:rFonts w:ascii="Calibri" w:hAnsi="Calibri"/>
          <w:b/>
          <w:sz w:val="44"/>
          <w:szCs w:val="44"/>
        </w:rPr>
        <w:t>Parochie Maria Vlucht</w:t>
      </w:r>
    </w:p>
    <w:p w:rsidR="009F4239" w:rsidRPr="001460AE" w:rsidRDefault="004032BB" w:rsidP="00F30996">
      <w:pPr>
        <w:tabs>
          <w:tab w:val="left" w:pos="1701"/>
          <w:tab w:val="left" w:pos="3119"/>
        </w:tabs>
        <w:rPr>
          <w:rFonts w:ascii="Calibri" w:hAnsi="Calibri"/>
        </w:rPr>
      </w:pPr>
      <w:r w:rsidRPr="004032BB">
        <w:rPr>
          <w:noProof/>
        </w:rPr>
        <w:pict>
          <v:shapetype id="_x0000_t202" coordsize="21600,21600" o:spt="202" path="m,l,21600r21600,l21600,xe">
            <v:stroke joinstyle="miter"/>
            <v:path gradientshapeok="t" o:connecttype="rect"/>
          </v:shapetype>
          <v:shape id="Tekstvak 2" o:spid="_x0000_s1031" type="#_x0000_t202" style="position:absolute;margin-left:54.75pt;margin-top:7.85pt;width:201.3pt;height:78pt;z-index:2516587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O6Jd8knAgAARwQAAA4AAAAAAAAAAAAAAAAALgIAAGRycy9lMm9Eb2Mu&#10;eG1sUEsBAi0AFAAGAAgAAAAhAP0vMtbbAAAABQEAAA8AAAAAAAAAAAAAAAAAgQQAAGRycy9kb3du&#10;cmV2LnhtbFBLBQYAAAAABAAEAPMAAACJBQAAAAA=&#10;" strokecolor="#365f91">
            <v:textbox>
              <w:txbxContent>
                <w:p w:rsidR="008702DB" w:rsidRPr="00B3438C" w:rsidRDefault="008702DB" w:rsidP="00F83F00">
                  <w:pPr>
                    <w:tabs>
                      <w:tab w:val="left" w:pos="284"/>
                      <w:tab w:val="left" w:pos="720"/>
                      <w:tab w:val="left" w:pos="1701"/>
                      <w:tab w:val="left" w:pos="3119"/>
                    </w:tabs>
                    <w:rPr>
                      <w:rFonts w:ascii="Calibri" w:hAnsi="Calibri"/>
                      <w:sz w:val="22"/>
                      <w:szCs w:val="22"/>
                    </w:rPr>
                  </w:pPr>
                  <w:r>
                    <w:rPr>
                      <w:rFonts w:ascii="Calibri" w:hAnsi="Calibri"/>
                    </w:rPr>
                    <w:t xml:space="preserve"> </w:t>
                  </w:r>
                  <w:r>
                    <w:rPr>
                      <w:rFonts w:ascii="Calibri" w:hAnsi="Calibri"/>
                    </w:rPr>
                    <w:sym w:font="Wingdings" w:char="F02B"/>
                  </w:r>
                  <w:r>
                    <w:rPr>
                      <w:rFonts w:ascii="Calibri" w:hAnsi="Calibri"/>
                    </w:rPr>
                    <w:t xml:space="preserve">  </w:t>
                  </w:r>
                  <w:r w:rsidRPr="00B3438C">
                    <w:rPr>
                      <w:rFonts w:ascii="Calibri" w:hAnsi="Calibri"/>
                      <w:sz w:val="22"/>
                      <w:szCs w:val="22"/>
                    </w:rPr>
                    <w:t>Gronausestraat 4</w:t>
                  </w:r>
                </w:p>
                <w:p w:rsidR="008702DB" w:rsidRPr="00B3438C" w:rsidRDefault="008702DB" w:rsidP="00F83F00">
                  <w:pPr>
                    <w:tabs>
                      <w:tab w:val="left" w:pos="284"/>
                      <w:tab w:val="left" w:pos="720"/>
                      <w:tab w:val="left" w:pos="1701"/>
                      <w:tab w:val="left" w:pos="3119"/>
                    </w:tabs>
                    <w:rPr>
                      <w:rFonts w:ascii="Calibri" w:hAnsi="Calibri"/>
                      <w:sz w:val="22"/>
                      <w:szCs w:val="22"/>
                    </w:rPr>
                  </w:pPr>
                  <w:r w:rsidRPr="00B3438C">
                    <w:rPr>
                      <w:rFonts w:ascii="Calibri" w:hAnsi="Calibri"/>
                      <w:sz w:val="22"/>
                      <w:szCs w:val="22"/>
                    </w:rPr>
                    <w:t xml:space="preserve"> </w:t>
                  </w:r>
                  <w:r>
                    <w:rPr>
                      <w:rFonts w:ascii="Calibri" w:hAnsi="Calibri"/>
                      <w:sz w:val="22"/>
                      <w:szCs w:val="22"/>
                    </w:rPr>
                    <w:t xml:space="preserve">        </w:t>
                  </w:r>
                  <w:r w:rsidRPr="00B3438C">
                    <w:rPr>
                      <w:rFonts w:ascii="Calibri" w:hAnsi="Calibri"/>
                      <w:sz w:val="22"/>
                      <w:szCs w:val="22"/>
                    </w:rPr>
                    <w:t>7581 CG Losser</w:t>
                  </w:r>
                </w:p>
                <w:p w:rsidR="008702DB" w:rsidRPr="00B3438C" w:rsidRDefault="008702DB" w:rsidP="00F83F00">
                  <w:pPr>
                    <w:tabs>
                      <w:tab w:val="left" w:pos="284"/>
                      <w:tab w:val="left" w:pos="720"/>
                      <w:tab w:val="left" w:pos="1701"/>
                      <w:tab w:val="left" w:pos="3119"/>
                    </w:tabs>
                    <w:rPr>
                      <w:rFonts w:ascii="Calibri" w:hAnsi="Calibri"/>
                      <w:sz w:val="22"/>
                      <w:szCs w:val="22"/>
                    </w:rPr>
                  </w:pPr>
                  <w:r w:rsidRPr="00B3438C">
                    <w:rPr>
                      <w:rFonts w:ascii="Calibri" w:hAnsi="Calibri"/>
                      <w:sz w:val="22"/>
                      <w:szCs w:val="22"/>
                    </w:rPr>
                    <w:t xml:space="preserve"> </w:t>
                  </w:r>
                  <w:r>
                    <w:rPr>
                      <w:rFonts w:ascii="Calibri" w:hAnsi="Calibri"/>
                      <w:sz w:val="22"/>
                      <w:szCs w:val="22"/>
                    </w:rPr>
                    <w:t xml:space="preserve"> </w:t>
                  </w:r>
                  <w:r>
                    <w:rPr>
                      <w:rFonts w:ascii="Calibri" w:hAnsi="Calibri"/>
                    </w:rPr>
                    <w:sym w:font="Wingdings" w:char="F029"/>
                  </w:r>
                  <w:r>
                    <w:rPr>
                      <w:rFonts w:ascii="Calibri" w:hAnsi="Calibri"/>
                    </w:rPr>
                    <w:t xml:space="preserve">   </w:t>
                  </w:r>
                  <w:r w:rsidRPr="00B3438C">
                    <w:rPr>
                      <w:rFonts w:ascii="Calibri" w:hAnsi="Calibri"/>
                      <w:sz w:val="22"/>
                      <w:szCs w:val="22"/>
                    </w:rPr>
                    <w:t>053 -</w:t>
                  </w:r>
                  <w:r>
                    <w:rPr>
                      <w:rFonts w:ascii="Calibri" w:hAnsi="Calibri"/>
                      <w:sz w:val="22"/>
                      <w:szCs w:val="22"/>
                    </w:rPr>
                    <w:t xml:space="preserve"> </w:t>
                  </w:r>
                  <w:r w:rsidRPr="00B3438C">
                    <w:rPr>
                      <w:rFonts w:ascii="Calibri" w:hAnsi="Calibri"/>
                      <w:sz w:val="22"/>
                      <w:szCs w:val="22"/>
                    </w:rPr>
                    <w:t>5361675</w:t>
                  </w:r>
                </w:p>
                <w:p w:rsidR="008702DB" w:rsidRPr="00B3438C" w:rsidRDefault="008702DB" w:rsidP="00F83F00">
                  <w:pPr>
                    <w:tabs>
                      <w:tab w:val="left" w:pos="284"/>
                      <w:tab w:val="left" w:pos="720"/>
                      <w:tab w:val="left" w:pos="1701"/>
                      <w:tab w:val="left" w:pos="3119"/>
                    </w:tabs>
                    <w:rPr>
                      <w:rFonts w:ascii="Calibri" w:hAnsi="Calibri"/>
                      <w:sz w:val="22"/>
                      <w:szCs w:val="22"/>
                    </w:rPr>
                  </w:pPr>
                  <w:r w:rsidRPr="00B3438C">
                    <w:rPr>
                      <w:rFonts w:ascii="Calibri" w:hAnsi="Calibri"/>
                      <w:sz w:val="22"/>
                      <w:szCs w:val="22"/>
                    </w:rPr>
                    <w:t xml:space="preserve"> </w:t>
                  </w:r>
                  <w:r>
                    <w:rPr>
                      <w:rFonts w:ascii="Calibri" w:hAnsi="Calibri"/>
                      <w:sz w:val="22"/>
                      <w:szCs w:val="22"/>
                    </w:rPr>
                    <w:t xml:space="preserve"> </w:t>
                  </w:r>
                  <w:r>
                    <w:rPr>
                      <w:rFonts w:ascii="Calibri" w:hAnsi="Calibri"/>
                    </w:rPr>
                    <w:t xml:space="preserve">@   </w:t>
                  </w:r>
                  <w:r w:rsidRPr="00B3438C">
                    <w:rPr>
                      <w:rFonts w:ascii="Calibri" w:hAnsi="Calibri"/>
                      <w:sz w:val="22"/>
                      <w:szCs w:val="22"/>
                    </w:rPr>
                    <w:t>secretariaat@mariavlucht.nl</w:t>
                  </w:r>
                </w:p>
                <w:p w:rsidR="008702DB" w:rsidRPr="00B3438C" w:rsidRDefault="008702DB" w:rsidP="00F83F00">
                  <w:pPr>
                    <w:tabs>
                      <w:tab w:val="left" w:pos="284"/>
                      <w:tab w:val="left" w:pos="720"/>
                      <w:tab w:val="left" w:pos="1701"/>
                      <w:tab w:val="left" w:pos="3119"/>
                    </w:tabs>
                    <w:rPr>
                      <w:rFonts w:ascii="Calibri" w:hAnsi="Calibri"/>
                      <w:sz w:val="22"/>
                      <w:szCs w:val="22"/>
                    </w:rPr>
                  </w:pPr>
                  <w:r w:rsidRPr="00B3438C">
                    <w:rPr>
                      <w:rFonts w:ascii="Calibri" w:hAnsi="Calibri"/>
                      <w:sz w:val="22"/>
                      <w:szCs w:val="22"/>
                    </w:rPr>
                    <w:t xml:space="preserve"> </w:t>
                  </w:r>
                  <w:r>
                    <w:rPr>
                      <w:rFonts w:ascii="Calibri" w:hAnsi="Calibri"/>
                      <w:sz w:val="22"/>
                      <w:szCs w:val="22"/>
                    </w:rPr>
                    <w:t xml:space="preserve"> </w:t>
                  </w:r>
                  <w:r>
                    <w:rPr>
                      <w:rFonts w:ascii="Calibri" w:hAnsi="Calibri"/>
                    </w:rPr>
                    <w:sym w:font="Wingdings" w:char="F03A"/>
                  </w:r>
                  <w:r>
                    <w:rPr>
                      <w:rFonts w:ascii="Calibri" w:hAnsi="Calibri"/>
                    </w:rPr>
                    <w:t xml:space="preserve">   </w:t>
                  </w:r>
                  <w:r w:rsidRPr="00B3438C">
                    <w:rPr>
                      <w:rFonts w:ascii="Calibri" w:hAnsi="Calibri"/>
                      <w:sz w:val="22"/>
                      <w:szCs w:val="22"/>
                    </w:rPr>
                    <w:t>www.mariavlucht.nl</w:t>
                  </w:r>
                </w:p>
              </w:txbxContent>
            </v:textbox>
          </v:shape>
        </w:pict>
      </w:r>
    </w:p>
    <w:p w:rsidR="00F62496" w:rsidRDefault="00F62496" w:rsidP="001460AE">
      <w:pPr>
        <w:tabs>
          <w:tab w:val="left" w:pos="284"/>
          <w:tab w:val="left" w:pos="720"/>
          <w:tab w:val="left" w:pos="1701"/>
          <w:tab w:val="left" w:pos="3119"/>
        </w:tabs>
        <w:rPr>
          <w:rFonts w:ascii="Calibri" w:hAnsi="Calibri"/>
          <w:sz w:val="20"/>
          <w:szCs w:val="20"/>
        </w:rPr>
      </w:pPr>
    </w:p>
    <w:p w:rsidR="00F62496" w:rsidRDefault="00F62496" w:rsidP="001460AE">
      <w:pPr>
        <w:tabs>
          <w:tab w:val="left" w:pos="284"/>
          <w:tab w:val="left" w:pos="720"/>
          <w:tab w:val="left" w:pos="1701"/>
          <w:tab w:val="left" w:pos="3119"/>
        </w:tabs>
        <w:rPr>
          <w:rFonts w:ascii="Calibri" w:hAnsi="Calibri"/>
          <w:sz w:val="20"/>
          <w:szCs w:val="20"/>
        </w:rPr>
      </w:pPr>
    </w:p>
    <w:p w:rsidR="00F62496" w:rsidRDefault="00F62496" w:rsidP="001460AE">
      <w:pPr>
        <w:tabs>
          <w:tab w:val="left" w:pos="284"/>
          <w:tab w:val="left" w:pos="720"/>
          <w:tab w:val="left" w:pos="1701"/>
          <w:tab w:val="left" w:pos="3119"/>
        </w:tabs>
        <w:rPr>
          <w:rFonts w:ascii="Calibri" w:hAnsi="Calibri"/>
          <w:sz w:val="20"/>
          <w:szCs w:val="20"/>
        </w:rPr>
      </w:pPr>
    </w:p>
    <w:p w:rsidR="00F62496" w:rsidRDefault="00F62496" w:rsidP="001460AE">
      <w:pPr>
        <w:tabs>
          <w:tab w:val="left" w:pos="284"/>
          <w:tab w:val="left" w:pos="720"/>
          <w:tab w:val="left" w:pos="1701"/>
          <w:tab w:val="left" w:pos="3119"/>
        </w:tabs>
        <w:rPr>
          <w:rFonts w:ascii="Calibri" w:hAnsi="Calibri"/>
          <w:sz w:val="20"/>
          <w:szCs w:val="20"/>
        </w:rPr>
      </w:pPr>
    </w:p>
    <w:p w:rsidR="00F62496" w:rsidRDefault="00F62496" w:rsidP="001460AE">
      <w:pPr>
        <w:tabs>
          <w:tab w:val="left" w:pos="284"/>
          <w:tab w:val="left" w:pos="720"/>
          <w:tab w:val="left" w:pos="1701"/>
          <w:tab w:val="left" w:pos="3119"/>
        </w:tabs>
        <w:rPr>
          <w:rFonts w:ascii="Calibri" w:hAnsi="Calibri"/>
          <w:sz w:val="20"/>
          <w:szCs w:val="20"/>
        </w:rPr>
      </w:pPr>
    </w:p>
    <w:p w:rsidR="00F62496" w:rsidRDefault="00F62496" w:rsidP="001460AE">
      <w:pPr>
        <w:tabs>
          <w:tab w:val="left" w:pos="284"/>
          <w:tab w:val="left" w:pos="720"/>
          <w:tab w:val="left" w:pos="1701"/>
          <w:tab w:val="left" w:pos="3119"/>
        </w:tabs>
        <w:rPr>
          <w:rFonts w:ascii="Calibri" w:hAnsi="Calibri"/>
          <w:sz w:val="20"/>
          <w:szCs w:val="20"/>
        </w:rPr>
      </w:pPr>
    </w:p>
    <w:p w:rsidR="00F62496" w:rsidRDefault="00F62496" w:rsidP="001460AE">
      <w:pPr>
        <w:tabs>
          <w:tab w:val="left" w:pos="284"/>
          <w:tab w:val="left" w:pos="720"/>
          <w:tab w:val="left" w:pos="1701"/>
          <w:tab w:val="left" w:pos="3119"/>
        </w:tabs>
        <w:rPr>
          <w:rFonts w:ascii="Calibri" w:hAnsi="Calibri"/>
          <w:sz w:val="20"/>
          <w:szCs w:val="20"/>
        </w:rPr>
      </w:pPr>
    </w:p>
    <w:p w:rsidR="00E203D7" w:rsidRPr="001460AE" w:rsidRDefault="004032BB" w:rsidP="00F30996">
      <w:pPr>
        <w:tabs>
          <w:tab w:val="left" w:pos="1560"/>
          <w:tab w:val="left" w:pos="2977"/>
        </w:tabs>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1026" type="#_x0000_t32" style="position:absolute;margin-left:-1.15pt;margin-top:2.25pt;width:468pt;height:.05pt;z-index:251656704" o:connectortype="straight" strokecolor="#1d344f" strokeweight="1pt"/>
        </w:pict>
      </w:r>
    </w:p>
    <w:p w:rsidR="00315AFD" w:rsidRDefault="00315AFD" w:rsidP="00CE2741">
      <w:pPr>
        <w:rPr>
          <w:b/>
          <w:bCs/>
          <w:color w:val="1F497D"/>
        </w:rPr>
      </w:pPr>
    </w:p>
    <w:p w:rsidR="00CE2741" w:rsidRDefault="00CE2741" w:rsidP="00CE2741">
      <w:pPr>
        <w:rPr>
          <w:b/>
          <w:bCs/>
          <w:color w:val="1F497D"/>
        </w:rPr>
      </w:pPr>
      <w:r>
        <w:rPr>
          <w:b/>
          <w:bCs/>
          <w:color w:val="1F497D"/>
        </w:rPr>
        <w:t>Huishoudelijk reglement begraafplaatsen Maria Vlucht</w:t>
      </w:r>
    </w:p>
    <w:p w:rsidR="00CE2741" w:rsidRDefault="00CE2741" w:rsidP="00CE2741">
      <w:pPr>
        <w:rPr>
          <w:b/>
          <w:bCs/>
          <w:color w:val="1F497D"/>
        </w:rPr>
      </w:pPr>
    </w:p>
    <w:p w:rsidR="00CE2741" w:rsidRDefault="00CE2741" w:rsidP="00CE2741">
      <w:pPr>
        <w:rPr>
          <w:b/>
          <w:bCs/>
          <w:color w:val="1F497D"/>
        </w:rPr>
      </w:pPr>
      <w:r>
        <w:rPr>
          <w:b/>
          <w:bCs/>
          <w:color w:val="1F497D"/>
        </w:rPr>
        <w:t>Locatie: Losser– Glanerbrug- Lonneker- Overdinkel</w:t>
      </w:r>
    </w:p>
    <w:p w:rsidR="00CE2741" w:rsidRDefault="00CE2741" w:rsidP="00CE2741">
      <w:pPr>
        <w:rPr>
          <w:color w:val="1F497D"/>
        </w:rPr>
      </w:pPr>
    </w:p>
    <w:p w:rsidR="00CE2741" w:rsidRDefault="00CE2741" w:rsidP="00CE2741">
      <w:pPr>
        <w:rPr>
          <w:color w:val="1F497D"/>
        </w:rPr>
      </w:pPr>
      <w:r>
        <w:rPr>
          <w:color w:val="1F497D"/>
        </w:rPr>
        <w:t>Dit Huishoudelijk Reglement is een aanvulling op het Algemeen Reglement, goedgekeurd door het aartsbisdom Utrecht.</w:t>
      </w:r>
    </w:p>
    <w:p w:rsidR="00CE2741" w:rsidRDefault="00CE2741" w:rsidP="00CE2741">
      <w:pPr>
        <w:rPr>
          <w:color w:val="1F497D"/>
        </w:rPr>
      </w:pPr>
    </w:p>
    <w:p w:rsidR="00CE2741" w:rsidRDefault="00CE2741" w:rsidP="00CE2741">
      <w:pPr>
        <w:rPr>
          <w:color w:val="1F497D"/>
        </w:rPr>
      </w:pPr>
      <w:r>
        <w:rPr>
          <w:color w:val="1F497D"/>
        </w:rPr>
        <w:t>Onder de beheerder van de begraafplaats wordt verstaan de begraafplaatscommissie.</w:t>
      </w:r>
    </w:p>
    <w:p w:rsidR="00CE2741" w:rsidRDefault="00CE2741" w:rsidP="00CE2741">
      <w:pPr>
        <w:rPr>
          <w:color w:val="1F497D"/>
        </w:rPr>
      </w:pPr>
      <w:r>
        <w:rPr>
          <w:color w:val="1F497D"/>
        </w:rPr>
        <w:t>De begraafplaatscommissie is financieel en administratief verantwoordelijk voor de gang van zaken betreffende de begraafplaats.</w:t>
      </w:r>
    </w:p>
    <w:p w:rsidR="00CE2741" w:rsidRDefault="00CE2741" w:rsidP="00CE2741">
      <w:pPr>
        <w:rPr>
          <w:color w:val="1F497D"/>
        </w:rPr>
      </w:pPr>
      <w:r>
        <w:rPr>
          <w:color w:val="1F497D"/>
        </w:rPr>
        <w:t>Zij verantwoordt haar activiteiten aan het bestuur van Maria Vlucht.</w:t>
      </w:r>
    </w:p>
    <w:p w:rsidR="00CE2741" w:rsidRDefault="00CE2741" w:rsidP="00CE2741">
      <w:pPr>
        <w:rPr>
          <w:color w:val="1F497D"/>
        </w:rPr>
      </w:pPr>
    </w:p>
    <w:p w:rsidR="00CE2741" w:rsidRDefault="00CE2741" w:rsidP="00CE2741">
      <w:pPr>
        <w:numPr>
          <w:ilvl w:val="0"/>
          <w:numId w:val="1"/>
        </w:numPr>
        <w:rPr>
          <w:color w:val="1F497D"/>
        </w:rPr>
      </w:pPr>
      <w:r>
        <w:rPr>
          <w:color w:val="1F497D"/>
        </w:rPr>
        <w:t>Vooraf aan het begraven van de overledene, wordt door de uitvaartleider de grafakte voorgelegd aan de rechthebbende ter ondertekening.</w:t>
      </w:r>
    </w:p>
    <w:p w:rsidR="00CE2741" w:rsidRDefault="00CE2741" w:rsidP="00CE2741">
      <w:pPr>
        <w:rPr>
          <w:color w:val="1F497D"/>
        </w:rPr>
      </w:pPr>
      <w:r>
        <w:rPr>
          <w:color w:val="1F497D"/>
        </w:rPr>
        <w:t xml:space="preserve">1a.  In geval van bijzetting dient de akte vooraf voorgelegd te worden aan de       </w:t>
      </w:r>
    </w:p>
    <w:p w:rsidR="00CE2741" w:rsidRDefault="00CE2741" w:rsidP="00CE2741">
      <w:pPr>
        <w:rPr>
          <w:color w:val="1F497D"/>
        </w:rPr>
      </w:pPr>
      <w:r>
        <w:rPr>
          <w:color w:val="1F497D"/>
        </w:rPr>
        <w:t>       rechthebbende ter ondertekening.</w:t>
      </w:r>
    </w:p>
    <w:p w:rsidR="00CE2741" w:rsidRDefault="00CE2741" w:rsidP="00CE2741">
      <w:pPr>
        <w:numPr>
          <w:ilvl w:val="0"/>
          <w:numId w:val="1"/>
        </w:numPr>
        <w:rPr>
          <w:color w:val="1F497D"/>
        </w:rPr>
      </w:pPr>
      <w:r>
        <w:rPr>
          <w:color w:val="1F497D"/>
        </w:rPr>
        <w:t>Tevens is het mogelijk om stoffelijke resten uit een graf van 10 jaar of ouder in een nieuw graf te herbegraven of te laten cremeren. Herbegraven op een andere begraafplaats en cremeren kan alleen met toestemming van het college van Burgemeester en Wethouders.</w:t>
      </w:r>
    </w:p>
    <w:p w:rsidR="00CE2741" w:rsidRDefault="00CE2741" w:rsidP="00CE2741">
      <w:pPr>
        <w:numPr>
          <w:ilvl w:val="0"/>
          <w:numId w:val="1"/>
        </w:numPr>
        <w:rPr>
          <w:color w:val="1F497D"/>
        </w:rPr>
      </w:pPr>
      <w:r>
        <w:rPr>
          <w:color w:val="1F497D"/>
        </w:rPr>
        <w:t>Voordat op een graf of op een urnenbewaarplaats een grafteken wordt geplaatst, moet aan de beheerder een tekening met maatvoering ter goedkeuring worden overlegd. Wanneer een grafteken wordt geplaatst moet 24 uur voorafgaand de dag, datum en tijdstip van plaatsing worden doorgegeven ter accordering.</w:t>
      </w:r>
    </w:p>
    <w:p w:rsidR="00CE2741" w:rsidRDefault="00CE2741" w:rsidP="00CE2741">
      <w:pPr>
        <w:numPr>
          <w:ilvl w:val="0"/>
          <w:numId w:val="1"/>
        </w:numPr>
        <w:rPr>
          <w:color w:val="1F497D"/>
        </w:rPr>
      </w:pPr>
      <w:r>
        <w:rPr>
          <w:color w:val="1F497D"/>
        </w:rPr>
        <w:t>De afmetingen van de zerk en grafteken mogen max. (lengte x breedte x hoogte) 2.00 x 1.00 x 1.00 meter bedragen. Hoogte gemeten vanaf het maaiveld</w:t>
      </w:r>
    </w:p>
    <w:p w:rsidR="00CE2741" w:rsidRDefault="00CE2741" w:rsidP="00CE2741">
      <w:pPr>
        <w:rPr>
          <w:color w:val="1F497D"/>
        </w:rPr>
      </w:pPr>
      <w:r>
        <w:rPr>
          <w:color w:val="1F497D"/>
        </w:rPr>
        <w:t>De afmetingen van een kindergrafsteen mogen max. (lengte x breedte x hoogte) 1.00 x 0.60 x 0.90 meter bedragen. ( Voor Overdinkel gelden andere maten i.v.m. reeds aangebrachte fundering, en een hagen)</w:t>
      </w:r>
    </w:p>
    <w:p w:rsidR="00CE2741" w:rsidRDefault="00CE2741" w:rsidP="00CE2741">
      <w:pPr>
        <w:rPr>
          <w:color w:val="1F497D"/>
        </w:rPr>
      </w:pPr>
      <w:r>
        <w:rPr>
          <w:color w:val="1F497D"/>
        </w:rPr>
        <w:t>Zerken en graftekens moeten worden geplaatst op een doelmatige fundering ten genoegen van de beheerder.</w:t>
      </w:r>
    </w:p>
    <w:p w:rsidR="00CE2741" w:rsidRDefault="00CE2741" w:rsidP="00CE2741">
      <w:pPr>
        <w:numPr>
          <w:ilvl w:val="0"/>
          <w:numId w:val="1"/>
        </w:numPr>
        <w:rPr>
          <w:color w:val="1F497D"/>
        </w:rPr>
      </w:pPr>
      <w:r>
        <w:rPr>
          <w:color w:val="1F497D"/>
        </w:rPr>
        <w:t>Voor zonsondergang moet een graf gedicht zijn.</w:t>
      </w:r>
    </w:p>
    <w:p w:rsidR="00CE2741" w:rsidRDefault="00CE2741" w:rsidP="00CE2741">
      <w:pPr>
        <w:numPr>
          <w:ilvl w:val="0"/>
          <w:numId w:val="1"/>
        </w:numPr>
        <w:rPr>
          <w:color w:val="1F497D"/>
        </w:rPr>
      </w:pPr>
      <w:r>
        <w:rPr>
          <w:color w:val="1F497D"/>
        </w:rPr>
        <w:t>Het plaatsen van een definitief grafmonument kan pas een half jaar na de begrafenis geschieden. Hiermee wordt de kans op verzakken van het grafmonument aanzienlijk verminderd.</w:t>
      </w:r>
    </w:p>
    <w:p w:rsidR="00CE2741" w:rsidRDefault="00CE2741" w:rsidP="00CE2741">
      <w:pPr>
        <w:numPr>
          <w:ilvl w:val="0"/>
          <w:numId w:val="1"/>
        </w:numPr>
        <w:rPr>
          <w:color w:val="1F497D"/>
        </w:rPr>
      </w:pPr>
      <w:r>
        <w:rPr>
          <w:color w:val="1F497D"/>
        </w:rPr>
        <w:t>De grafbeplanting mag geen groter oppervlakte begroeien dan het graf of de bestemde grafstrook met een maximale hoogte van 0.75 meter. Uitsluitend op de beplantingsstrook mogen tegels/grind of een natuursteen tablet worden gelegd.</w:t>
      </w:r>
    </w:p>
    <w:p w:rsidR="00CE2741" w:rsidRDefault="00CE2741" w:rsidP="00CE2741">
      <w:pPr>
        <w:numPr>
          <w:ilvl w:val="0"/>
          <w:numId w:val="1"/>
        </w:numPr>
        <w:rPr>
          <w:color w:val="1F497D"/>
        </w:rPr>
      </w:pPr>
      <w:r>
        <w:rPr>
          <w:color w:val="1F497D"/>
        </w:rPr>
        <w:t>Kerstversieringe</w:t>
      </w:r>
      <w:r w:rsidR="00315AFD">
        <w:rPr>
          <w:color w:val="1F497D"/>
        </w:rPr>
        <w:t xml:space="preserve">n op de graven dienen uiterlijk </w:t>
      </w:r>
      <w:r w:rsidRPr="00315AFD">
        <w:rPr>
          <w:bCs/>
          <w:iCs/>
          <w:color w:val="1F497D"/>
        </w:rPr>
        <w:t>drie weken</w:t>
      </w:r>
      <w:r>
        <w:rPr>
          <w:color w:val="1F497D"/>
        </w:rPr>
        <w:t xml:space="preserve"> voor Pasen verwijderd te worden. Bij het in gebreke blijven, zullen deze door de begraafplaatsbeheerder worden verwijderd.</w:t>
      </w:r>
    </w:p>
    <w:p w:rsidR="00CE2741" w:rsidRDefault="00CE2741" w:rsidP="00CE2741">
      <w:pPr>
        <w:numPr>
          <w:ilvl w:val="0"/>
          <w:numId w:val="1"/>
        </w:numPr>
        <w:rPr>
          <w:color w:val="1F497D"/>
        </w:rPr>
      </w:pPr>
      <w:r>
        <w:rPr>
          <w:color w:val="1F497D"/>
        </w:rPr>
        <w:lastRenderedPageBreak/>
        <w:t>De inscripties, zerken en graftekens mogen niet storend of grievend zijn voor nabestaanden en bezoekers.</w:t>
      </w:r>
    </w:p>
    <w:p w:rsidR="00CE2741" w:rsidRDefault="00CE2741" w:rsidP="00CE2741">
      <w:pPr>
        <w:numPr>
          <w:ilvl w:val="0"/>
          <w:numId w:val="1"/>
        </w:numPr>
        <w:rPr>
          <w:color w:val="1F497D"/>
        </w:rPr>
      </w:pPr>
      <w:r>
        <w:rPr>
          <w:color w:val="1F497D"/>
        </w:rPr>
        <w:t xml:space="preserve">Op het graf worden niet toegelaten: </w:t>
      </w:r>
    </w:p>
    <w:p w:rsidR="00CE2741" w:rsidRDefault="00CE2741" w:rsidP="00CE2741">
      <w:pPr>
        <w:rPr>
          <w:color w:val="1F497D"/>
        </w:rPr>
      </w:pPr>
      <w:r>
        <w:rPr>
          <w:color w:val="1F497D"/>
        </w:rPr>
        <w:t xml:space="preserve">IJzeren hekken </w:t>
      </w:r>
    </w:p>
    <w:p w:rsidR="00CE2741" w:rsidRDefault="00CE2741" w:rsidP="00CE2741">
      <w:pPr>
        <w:rPr>
          <w:color w:val="1F497D"/>
        </w:rPr>
      </w:pPr>
      <w:r>
        <w:rPr>
          <w:color w:val="1F497D"/>
        </w:rPr>
        <w:t>Palen met buizen of kettingen</w:t>
      </w:r>
    </w:p>
    <w:p w:rsidR="00CE2741" w:rsidRDefault="00CE2741" w:rsidP="00CE2741">
      <w:pPr>
        <w:rPr>
          <w:color w:val="1F497D"/>
        </w:rPr>
      </w:pPr>
      <w:r>
        <w:rPr>
          <w:color w:val="1F497D"/>
        </w:rPr>
        <w:t>Plaatsen van een firmanaam of enige reclame op zerken of graftekens aan de voorzijde.</w:t>
      </w:r>
    </w:p>
    <w:p w:rsidR="00CE2741" w:rsidRDefault="00CE2741" w:rsidP="00CE2741">
      <w:pPr>
        <w:numPr>
          <w:ilvl w:val="0"/>
          <w:numId w:val="1"/>
        </w:numPr>
        <w:rPr>
          <w:color w:val="1F497D"/>
        </w:rPr>
      </w:pPr>
      <w:r>
        <w:rPr>
          <w:color w:val="1F497D"/>
        </w:rPr>
        <w:t>De uitvaartverzorgers en de leveranciers van graftekens worden geacht kennis te hebben van het reglement van de begraafplaats.</w:t>
      </w:r>
    </w:p>
    <w:p w:rsidR="00CE2741" w:rsidRDefault="00CE2741" w:rsidP="00CE2741">
      <w:pPr>
        <w:numPr>
          <w:ilvl w:val="0"/>
          <w:numId w:val="1"/>
        </w:numPr>
        <w:rPr>
          <w:color w:val="1F497D"/>
        </w:rPr>
      </w:pPr>
      <w:r>
        <w:rPr>
          <w:color w:val="1F497D"/>
        </w:rPr>
        <w:t>Voor werkzaamheden aan graven en urnenbewaarplaatsen door beroepskrachten is de begraafplaats geopend op werkdagen van 08.00 tot 17.00 uur. Indien een bijzetting plaatsvindt buiten de in dit art. genoemde tijdstippen mogen beroepskrachten de urnenbewaarplaats afdichten.</w:t>
      </w:r>
    </w:p>
    <w:p w:rsidR="00CE2741" w:rsidRDefault="00CE2741" w:rsidP="00CE2741">
      <w:pPr>
        <w:numPr>
          <w:ilvl w:val="0"/>
          <w:numId w:val="1"/>
        </w:numPr>
        <w:rPr>
          <w:color w:val="1F497D"/>
        </w:rPr>
      </w:pPr>
      <w:r>
        <w:rPr>
          <w:color w:val="1F497D"/>
        </w:rPr>
        <w:t>Het is niet toegestaan bij werkzaamheden aan het graf, van andere graven behorende beplanting of de groenvoorziening of gedeelten hiervan te verwijderen. Bij vermeende hinder dient contact te worden opgenomen met de beheerder.</w:t>
      </w:r>
    </w:p>
    <w:p w:rsidR="00CE2741" w:rsidRDefault="00CE2741" w:rsidP="00CE2741">
      <w:pPr>
        <w:numPr>
          <w:ilvl w:val="0"/>
          <w:numId w:val="1"/>
        </w:numPr>
        <w:rPr>
          <w:color w:val="1F497D"/>
        </w:rPr>
      </w:pPr>
      <w:r>
        <w:rPr>
          <w:color w:val="1F497D"/>
        </w:rPr>
        <w:t>Alleen de verharde wegen en paden, door de beheerder daartoe aangewezen, mogen worden bereden door vervoermiddelen van beroepskrachten. De beheerder is bevoegd een vervoermiddel met een naar zijn oordeel te hoge wieldruk of afmeting de toegang tot de begraafplaats te ontzeggen.</w:t>
      </w:r>
    </w:p>
    <w:p w:rsidR="00CE2741" w:rsidRDefault="00CE2741" w:rsidP="00CE2741">
      <w:pPr>
        <w:numPr>
          <w:ilvl w:val="0"/>
          <w:numId w:val="1"/>
        </w:numPr>
        <w:rPr>
          <w:color w:val="1F497D"/>
        </w:rPr>
      </w:pPr>
      <w:r>
        <w:rPr>
          <w:color w:val="1F497D"/>
        </w:rPr>
        <w:t>De beroepskrachten zijn aansprakelijk voor letsel en schade, toegebracht aan personen of zaken op de begraafplaats.</w:t>
      </w:r>
    </w:p>
    <w:p w:rsidR="00CE2741" w:rsidRDefault="00CE2741" w:rsidP="00CE2741">
      <w:pPr>
        <w:numPr>
          <w:ilvl w:val="0"/>
          <w:numId w:val="1"/>
        </w:numPr>
        <w:rPr>
          <w:color w:val="1F497D"/>
        </w:rPr>
      </w:pPr>
      <w:r>
        <w:rPr>
          <w:color w:val="1F497D"/>
        </w:rPr>
        <w:t>Personen, belast met werkzaamheden aan de graven, dienen tenminste 16 jaar oud te zijn en naar het oordeel van de beheerder behoorlijk gekleed. Gebruik van radio of andere geluidsapparatuur is verboden.</w:t>
      </w:r>
    </w:p>
    <w:p w:rsidR="00CE2741" w:rsidRDefault="00CE2741" w:rsidP="00CE2741">
      <w:pPr>
        <w:numPr>
          <w:ilvl w:val="0"/>
          <w:numId w:val="1"/>
        </w:numPr>
        <w:rPr>
          <w:color w:val="1F497D"/>
        </w:rPr>
      </w:pPr>
      <w:r>
        <w:rPr>
          <w:color w:val="1F497D"/>
        </w:rPr>
        <w:t>De beroepskrachten dienen zorg te dragen voor voldoende eigen personeel voor laden, lossen en transport. Zij mogen geen rechtstreeks beroep doen op assistentie van het personeel van de begraafplaats of werknemers van de tuinonderhoudsdienst. Een verzoek tot het verlenen van hulp in bijzondere omstandigheden dient te worden gericht aan de beheerder.</w:t>
      </w:r>
    </w:p>
    <w:p w:rsidR="00CE2741" w:rsidRDefault="00CE2741" w:rsidP="00CE2741">
      <w:pPr>
        <w:numPr>
          <w:ilvl w:val="0"/>
          <w:numId w:val="1"/>
        </w:numPr>
        <w:rPr>
          <w:color w:val="1F497D"/>
        </w:rPr>
      </w:pPr>
      <w:r>
        <w:rPr>
          <w:color w:val="1F497D"/>
        </w:rPr>
        <w:t>Graven en urnenbewaarplaatsen waarvan de grafrechten zijn vervallen kunnen geruimd worden. Ruiming blijkt niet altijd nodig, doorgaans kan volstaan worden met het verwijderen van het grafmonument en beplanting. Op het moment dat in het betreffende graf opnieuw een overledene begraven dient te worden, wordt het graf geschud. Dit schudden zal in de meeste gevallen bestaan uit het dieper ingraven van de stoffelijke resten.</w:t>
      </w:r>
    </w:p>
    <w:p w:rsidR="00CE2741" w:rsidRPr="00315AFD" w:rsidRDefault="00CE2741" w:rsidP="00CE2741">
      <w:pPr>
        <w:numPr>
          <w:ilvl w:val="0"/>
          <w:numId w:val="1"/>
        </w:numPr>
        <w:rPr>
          <w:bCs/>
          <w:iCs/>
          <w:color w:val="1F497D"/>
        </w:rPr>
      </w:pPr>
      <w:r w:rsidRPr="00315AFD">
        <w:rPr>
          <w:bCs/>
          <w:iCs/>
          <w:color w:val="1F497D"/>
        </w:rPr>
        <w:t>Naamplaatjes die zijn aangebracht op de gedenkzuil bij een strooiveld worden na een periode van 10 jaar verwijderd. Verlenging van deze periode is niet mogelijk.</w:t>
      </w:r>
    </w:p>
    <w:p w:rsidR="00CE2741" w:rsidRPr="00315AFD" w:rsidRDefault="00CE2741" w:rsidP="00CE2741">
      <w:pPr>
        <w:numPr>
          <w:ilvl w:val="0"/>
          <w:numId w:val="1"/>
        </w:numPr>
        <w:rPr>
          <w:bCs/>
          <w:iCs/>
          <w:color w:val="1F497D"/>
        </w:rPr>
      </w:pPr>
      <w:r w:rsidRPr="00315AFD">
        <w:rPr>
          <w:bCs/>
          <w:iCs/>
          <w:color w:val="1F497D"/>
        </w:rPr>
        <w:t>Voor het verwijderen van zerken en graftekens moet altijd vooraf toestemming gevraagd worden aan de beheerder. Die bepaalt ook of het verwijderen i.v.m. de veiligheid en evt. risico`s door beroepskrachten of door de rechthebbende uitgevoerd mag worden.</w:t>
      </w:r>
    </w:p>
    <w:p w:rsidR="00CE2741" w:rsidRDefault="00CE2741" w:rsidP="00CE2741">
      <w:pPr>
        <w:numPr>
          <w:ilvl w:val="0"/>
          <w:numId w:val="1"/>
        </w:numPr>
        <w:rPr>
          <w:color w:val="1F497D"/>
        </w:rPr>
      </w:pPr>
      <w:r>
        <w:rPr>
          <w:color w:val="1F497D"/>
        </w:rPr>
        <w:t>Na de begrafenis wordt door de beheerder een tijdelijk grafteken geplaatst.</w:t>
      </w:r>
    </w:p>
    <w:p w:rsidR="00CE2741" w:rsidRDefault="00CE2741" w:rsidP="00CE2741">
      <w:pPr>
        <w:numPr>
          <w:ilvl w:val="0"/>
          <w:numId w:val="1"/>
        </w:numPr>
        <w:rPr>
          <w:color w:val="1F497D"/>
        </w:rPr>
      </w:pPr>
      <w:r>
        <w:rPr>
          <w:color w:val="1F497D"/>
        </w:rPr>
        <w:t>Het is niet toegestaan voorwerpen achter of naast het graf te plaatsen.</w:t>
      </w:r>
    </w:p>
    <w:p w:rsidR="00CE2741" w:rsidRDefault="00CE2741" w:rsidP="00CE2741">
      <w:pPr>
        <w:numPr>
          <w:ilvl w:val="0"/>
          <w:numId w:val="1"/>
        </w:numPr>
        <w:rPr>
          <w:color w:val="1F497D"/>
        </w:rPr>
      </w:pPr>
      <w:r>
        <w:rPr>
          <w:color w:val="1F497D"/>
        </w:rPr>
        <w:t>De beheerder is gerechtigd om bij (speciale) gelegenheden het kerkhof af te sluiten.</w:t>
      </w:r>
    </w:p>
    <w:p w:rsidR="00CE2741" w:rsidRDefault="00CE2741" w:rsidP="00CE2741">
      <w:pPr>
        <w:numPr>
          <w:ilvl w:val="0"/>
          <w:numId w:val="1"/>
        </w:numPr>
        <w:rPr>
          <w:color w:val="1F497D"/>
        </w:rPr>
      </w:pPr>
      <w:r>
        <w:rPr>
          <w:color w:val="1F497D"/>
        </w:rPr>
        <w:t>De variabele kosten, zoals delven en tijdelijk grafteken, zijn per locatie verschillend en worden altijd verrekend op basis van werkelijk gemaakte kosten.</w:t>
      </w:r>
    </w:p>
    <w:p w:rsidR="00CE2741" w:rsidRDefault="00CE2741" w:rsidP="00CE2741">
      <w:pPr>
        <w:numPr>
          <w:ilvl w:val="0"/>
          <w:numId w:val="1"/>
        </w:numPr>
        <w:rPr>
          <w:color w:val="1F497D"/>
        </w:rPr>
      </w:pPr>
      <w:r>
        <w:rPr>
          <w:color w:val="1F497D"/>
        </w:rPr>
        <w:t>De gehanteerde tarieven kunnen jaarlijks in de maand januari geïndexeerd worden.</w:t>
      </w:r>
    </w:p>
    <w:p w:rsidR="00CE2741" w:rsidRDefault="00CE2741" w:rsidP="00CE2741">
      <w:pPr>
        <w:numPr>
          <w:ilvl w:val="0"/>
          <w:numId w:val="1"/>
        </w:numPr>
        <w:rPr>
          <w:color w:val="1F497D"/>
        </w:rPr>
      </w:pPr>
      <w:r>
        <w:rPr>
          <w:color w:val="1F497D"/>
        </w:rPr>
        <w:t>Ook gestorvenen die geen binding hebben met de parochie kunnen begraven, bijgezet worden in het columbarium of uitgestrooid worden op het strooiveld. Onder voorwaarde dat er ook een uitvaartviering in een van de kerken van Maria Vlucht zal worden gehouden. Dit ter beoordeling van het Pastoresteam.</w:t>
      </w:r>
    </w:p>
    <w:p w:rsidR="00CE2741" w:rsidRDefault="00CE2741" w:rsidP="00CE2741">
      <w:pPr>
        <w:numPr>
          <w:ilvl w:val="0"/>
          <w:numId w:val="1"/>
        </w:numPr>
        <w:rPr>
          <w:color w:val="1F497D"/>
        </w:rPr>
      </w:pPr>
      <w:r>
        <w:rPr>
          <w:color w:val="1F497D"/>
        </w:rPr>
        <w:t xml:space="preserve">Voorkeurparochianen, en partners waarmee zij gehuwd waren of een duurzaam huishouden vormden, van een van de geloofsgemeenschappen, kunnen daar begraven, bijgezet worden in </w:t>
      </w:r>
      <w:r>
        <w:rPr>
          <w:color w:val="1F497D"/>
        </w:rPr>
        <w:lastRenderedPageBreak/>
        <w:t>het columbarium of uitgestrooid worden op het strooiveld. Hierbij kan gebruik gemaakt worden van de kerk voor een uitvaart, in welke vorm dan ook of voor een avondwake.</w:t>
      </w:r>
    </w:p>
    <w:p w:rsidR="00CE2741" w:rsidRDefault="00CE2741" w:rsidP="00CE2741">
      <w:pPr>
        <w:rPr>
          <w:color w:val="1F497D"/>
        </w:rPr>
      </w:pPr>
    </w:p>
    <w:p w:rsidR="00CE2741" w:rsidRPr="00315AFD" w:rsidRDefault="00315AFD" w:rsidP="00CE2741">
      <w:pPr>
        <w:rPr>
          <w:color w:val="1F497D"/>
        </w:rPr>
      </w:pPr>
      <w:r>
        <w:rPr>
          <w:color w:val="1F497D"/>
        </w:rPr>
        <w:t>      </w:t>
      </w:r>
      <w:r w:rsidR="00CE2741">
        <w:rPr>
          <w:color w:val="1F497D"/>
        </w:rPr>
        <w:t xml:space="preserve">Goedgekeurd door het bestuur van parochie Maria Vlucht d.d. </w:t>
      </w:r>
      <w:r w:rsidR="00CE2741" w:rsidRPr="00315AFD">
        <w:rPr>
          <w:bCs/>
          <w:iCs/>
          <w:color w:val="1F497D"/>
        </w:rPr>
        <w:t xml:space="preserve">22 november </w:t>
      </w:r>
      <w:r w:rsidR="00CE2741" w:rsidRPr="00315AFD">
        <w:rPr>
          <w:color w:val="1F497D"/>
        </w:rPr>
        <w:t>201</w:t>
      </w:r>
      <w:r w:rsidR="00CE2741" w:rsidRPr="00315AFD">
        <w:rPr>
          <w:bCs/>
          <w:iCs/>
          <w:color w:val="1F497D"/>
        </w:rPr>
        <w:t>7</w:t>
      </w:r>
    </w:p>
    <w:p w:rsidR="00CE2741" w:rsidRPr="00315AFD" w:rsidRDefault="00CE2741" w:rsidP="00CE2741">
      <w:pPr>
        <w:rPr>
          <w:color w:val="1F497D"/>
        </w:rPr>
      </w:pPr>
      <w:r w:rsidRPr="00315AFD">
        <w:rPr>
          <w:color w:val="1F497D"/>
        </w:rPr>
        <w:t xml:space="preserve">      Van kracht op </w:t>
      </w:r>
      <w:r w:rsidRPr="00315AFD">
        <w:rPr>
          <w:bCs/>
          <w:iCs/>
          <w:color w:val="1F497D"/>
        </w:rPr>
        <w:t xml:space="preserve">1 december </w:t>
      </w:r>
      <w:r w:rsidRPr="00315AFD">
        <w:rPr>
          <w:color w:val="1F497D"/>
        </w:rPr>
        <w:t>201</w:t>
      </w:r>
      <w:r w:rsidRPr="00315AFD">
        <w:rPr>
          <w:bCs/>
          <w:iCs/>
          <w:color w:val="1F497D"/>
        </w:rPr>
        <w:t>7</w:t>
      </w:r>
    </w:p>
    <w:p w:rsidR="00CE2741" w:rsidRDefault="00CE2741" w:rsidP="00CE2741">
      <w:pPr>
        <w:rPr>
          <w:color w:val="1F497D"/>
        </w:rPr>
      </w:pPr>
    </w:p>
    <w:p w:rsidR="00D96BBF" w:rsidRPr="00D96BBF" w:rsidRDefault="00D96BBF" w:rsidP="00D96BBF">
      <w:pPr>
        <w:rPr>
          <w:rFonts w:ascii="Calibri" w:hAnsi="Calibri"/>
        </w:rPr>
      </w:pPr>
    </w:p>
    <w:p w:rsidR="004D0938" w:rsidRPr="004D0938" w:rsidRDefault="004D0938" w:rsidP="004D0938">
      <w:pPr>
        <w:rPr>
          <w:rFonts w:ascii="Calibri" w:hAnsi="Calibri"/>
        </w:rPr>
      </w:pPr>
    </w:p>
    <w:p w:rsidR="004D0938" w:rsidRPr="004D0938" w:rsidRDefault="004D0938" w:rsidP="004D0938">
      <w:pPr>
        <w:rPr>
          <w:rFonts w:ascii="Calibri" w:hAnsi="Calibri"/>
        </w:rPr>
      </w:pPr>
    </w:p>
    <w:p w:rsidR="004D0938" w:rsidRPr="004D0938" w:rsidRDefault="004D0938" w:rsidP="004D0938">
      <w:pPr>
        <w:rPr>
          <w:rFonts w:ascii="Calibri" w:hAnsi="Calibri"/>
        </w:rPr>
      </w:pPr>
    </w:p>
    <w:p w:rsidR="004D0938" w:rsidRPr="004D0938" w:rsidRDefault="004D0938" w:rsidP="004D0938">
      <w:pPr>
        <w:rPr>
          <w:rFonts w:ascii="Calibri" w:hAnsi="Calibri"/>
        </w:rPr>
      </w:pPr>
    </w:p>
    <w:p w:rsidR="004D0938" w:rsidRDefault="004D0938" w:rsidP="004D0938">
      <w:pPr>
        <w:rPr>
          <w:rFonts w:ascii="Calibri" w:hAnsi="Calibri"/>
        </w:rPr>
      </w:pPr>
    </w:p>
    <w:p w:rsidR="00112EBE" w:rsidRPr="004D0938" w:rsidRDefault="004D0938" w:rsidP="004D0938">
      <w:pPr>
        <w:tabs>
          <w:tab w:val="left" w:pos="2565"/>
        </w:tabs>
        <w:rPr>
          <w:rFonts w:ascii="Calibri" w:hAnsi="Calibri"/>
        </w:rPr>
      </w:pPr>
      <w:r>
        <w:rPr>
          <w:rFonts w:ascii="Calibri" w:hAnsi="Calibri"/>
        </w:rPr>
        <w:tab/>
      </w:r>
    </w:p>
    <w:sectPr w:rsidR="00112EBE" w:rsidRPr="004D0938" w:rsidSect="00CE2741">
      <w:footerReference w:type="default" r:id="rId8"/>
      <w:pgSz w:w="11906" w:h="16838"/>
      <w:pgMar w:top="851"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2DB" w:rsidRDefault="008702DB" w:rsidP="009B0B19">
      <w:r>
        <w:separator/>
      </w:r>
    </w:p>
  </w:endnote>
  <w:endnote w:type="continuationSeparator" w:id="0">
    <w:p w:rsidR="008702DB" w:rsidRDefault="008702DB" w:rsidP="009B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DB" w:rsidRDefault="008702DB" w:rsidP="00B3438C">
    <w:pPr>
      <w:tabs>
        <w:tab w:val="left" w:pos="284"/>
        <w:tab w:val="left" w:pos="720"/>
        <w:tab w:val="left" w:pos="1701"/>
        <w:tab w:val="left" w:pos="3119"/>
      </w:tabs>
      <w:rPr>
        <w:rFonts w:ascii="Calibri" w:hAnsi="Calibri"/>
        <w:sz w:val="20"/>
        <w:szCs w:val="20"/>
      </w:rPr>
    </w:pPr>
  </w:p>
  <w:p w:rsidR="008702DB" w:rsidRDefault="004032BB" w:rsidP="00B3438C">
    <w:pPr>
      <w:tabs>
        <w:tab w:val="left" w:pos="284"/>
        <w:tab w:val="left" w:pos="720"/>
        <w:tab w:val="left" w:pos="1701"/>
        <w:tab w:val="left" w:pos="3119"/>
      </w:tabs>
      <w:jc w:val="right"/>
      <w:rPr>
        <w:rFonts w:ascii="Calibri" w:hAnsi="Calibri"/>
        <w:sz w:val="20"/>
        <w:szCs w:val="20"/>
      </w:rPr>
    </w:pPr>
    <w:r>
      <w:rPr>
        <w:rFonts w:ascii="Calibri" w:hAnsi="Calibri"/>
        <w:sz w:val="20"/>
        <w:szCs w:val="20"/>
      </w:rPr>
      <w:fldChar w:fldCharType="begin"/>
    </w:r>
    <w:r w:rsidR="008702DB">
      <w:rPr>
        <w:rFonts w:ascii="Calibri" w:hAnsi="Calibri"/>
        <w:sz w:val="20"/>
        <w:szCs w:val="20"/>
      </w:rPr>
      <w:instrText xml:space="preserve"> PAGE   \* MERGEFORMAT </w:instrText>
    </w:r>
    <w:r>
      <w:rPr>
        <w:rFonts w:ascii="Calibri" w:hAnsi="Calibri"/>
        <w:sz w:val="20"/>
        <w:szCs w:val="20"/>
      </w:rPr>
      <w:fldChar w:fldCharType="separate"/>
    </w:r>
    <w:r w:rsidR="00CA7BC3">
      <w:rPr>
        <w:rFonts w:ascii="Calibri" w:hAnsi="Calibri"/>
        <w:noProof/>
        <w:sz w:val="20"/>
        <w:szCs w:val="20"/>
      </w:rPr>
      <w:t>1</w:t>
    </w:r>
    <w:r>
      <w:rPr>
        <w:rFonts w:ascii="Calibri" w:hAnsi="Calibri"/>
        <w:sz w:val="20"/>
        <w:szCs w:val="20"/>
      </w:rPr>
      <w:fldChar w:fldCharType="end"/>
    </w:r>
    <w:r w:rsidR="008702DB">
      <w:rPr>
        <w:rFonts w:ascii="Calibri" w:hAnsi="Calibri"/>
        <w:sz w:val="20"/>
        <w:szCs w:val="20"/>
      </w:rPr>
      <w:t xml:space="preserve"> van </w:t>
    </w:r>
    <w:fldSimple w:instr=" NUMPAGES   \* MERGEFORMAT ">
      <w:r w:rsidR="00CA7BC3" w:rsidRPr="00CA7BC3">
        <w:rPr>
          <w:rFonts w:ascii="Calibri" w:hAnsi="Calibri"/>
          <w:noProof/>
          <w:sz w:val="20"/>
          <w:szCs w:val="20"/>
        </w:rPr>
        <w:t>3</w:t>
      </w:r>
    </w:fldSimple>
  </w:p>
  <w:p w:rsidR="008702DB" w:rsidRDefault="004032BB" w:rsidP="00B3438C">
    <w:pPr>
      <w:tabs>
        <w:tab w:val="left" w:pos="284"/>
        <w:tab w:val="left" w:pos="720"/>
        <w:tab w:val="left" w:pos="1701"/>
        <w:tab w:val="left" w:pos="3119"/>
      </w:tabs>
      <w:rPr>
        <w:rFonts w:ascii="Calibri" w:hAnsi="Calibri"/>
        <w:sz w:val="20"/>
        <w:szCs w:val="20"/>
      </w:rPr>
    </w:pPr>
    <w:r>
      <w:rPr>
        <w:rFonts w:ascii="Calibri" w:hAnsi="Calibri"/>
        <w:noProof/>
        <w:sz w:val="20"/>
        <w:szCs w:val="20"/>
      </w:rPr>
      <w:pict>
        <v:shapetype id="_x0000_t32" coordsize="21600,21600" o:spt="32" o:oned="t" path="m,l21600,21600e" filled="f">
          <v:path arrowok="t" fillok="f" o:connecttype="none"/>
          <o:lock v:ext="edit" shapetype="t"/>
        </v:shapetype>
        <v:shape id="_x0000_s2049" type="#_x0000_t32" style="position:absolute;margin-left:0;margin-top:1.95pt;width:468pt;height:.05pt;z-index:251658240" o:connectortype="straight" strokecolor="#1d344f" strokeweight="1pt"/>
      </w:pict>
    </w:r>
    <w:r w:rsidR="008702DB">
      <w:rPr>
        <w:rFonts w:ascii="Calibri" w:hAnsi="Calibri"/>
        <w:sz w:val="20"/>
        <w:szCs w:val="20"/>
      </w:rPr>
      <w:t xml:space="preserve"> </w:t>
    </w:r>
  </w:p>
  <w:p w:rsidR="004C79D4" w:rsidRDefault="008702DB" w:rsidP="00B3438C">
    <w:pPr>
      <w:tabs>
        <w:tab w:val="left" w:pos="284"/>
        <w:tab w:val="left" w:pos="720"/>
        <w:tab w:val="left" w:pos="1701"/>
        <w:tab w:val="left" w:pos="3119"/>
      </w:tabs>
      <w:jc w:val="center"/>
      <w:rPr>
        <w:rFonts w:ascii="Calibri" w:hAnsi="Calibri"/>
        <w:sz w:val="20"/>
        <w:szCs w:val="20"/>
      </w:rPr>
    </w:pPr>
    <w:r w:rsidRPr="00F83F00">
      <w:rPr>
        <w:rFonts w:ascii="Calibri" w:hAnsi="Calibri"/>
        <w:sz w:val="20"/>
        <w:szCs w:val="20"/>
      </w:rPr>
      <w:t>Geloofsgemeenschappen: Onze Lieve Vrouw van de H</w:t>
    </w:r>
    <w:r>
      <w:rPr>
        <w:rFonts w:ascii="Calibri" w:hAnsi="Calibri"/>
        <w:sz w:val="20"/>
        <w:szCs w:val="20"/>
      </w:rPr>
      <w:t>.</w:t>
    </w:r>
    <w:r w:rsidRPr="00F83F00">
      <w:rPr>
        <w:rFonts w:ascii="Calibri" w:hAnsi="Calibri"/>
        <w:sz w:val="20"/>
        <w:szCs w:val="20"/>
      </w:rPr>
      <w:t xml:space="preserve"> Rozenkrans te Glanerbrug | </w:t>
    </w:r>
    <w:r w:rsidR="004C79D4">
      <w:rPr>
        <w:rFonts w:ascii="Calibri" w:hAnsi="Calibri"/>
        <w:sz w:val="20"/>
        <w:szCs w:val="20"/>
      </w:rPr>
      <w:t xml:space="preserve">Katholiek Losser| </w:t>
    </w:r>
  </w:p>
  <w:p w:rsidR="008702DB" w:rsidRPr="00B3438C" w:rsidRDefault="008702DB" w:rsidP="00B3438C">
    <w:pPr>
      <w:tabs>
        <w:tab w:val="left" w:pos="284"/>
        <w:tab w:val="left" w:pos="720"/>
        <w:tab w:val="left" w:pos="1701"/>
        <w:tab w:val="left" w:pos="3119"/>
      </w:tabs>
      <w:jc w:val="center"/>
      <w:rPr>
        <w:rFonts w:ascii="Calibri" w:hAnsi="Calibri"/>
        <w:sz w:val="20"/>
        <w:szCs w:val="20"/>
      </w:rPr>
    </w:pPr>
    <w:r>
      <w:rPr>
        <w:rFonts w:ascii="Calibri" w:hAnsi="Calibri"/>
        <w:sz w:val="20"/>
        <w:szCs w:val="20"/>
      </w:rPr>
      <w:t>H.</w:t>
    </w:r>
    <w:r w:rsidRPr="00F83F00">
      <w:rPr>
        <w:rFonts w:ascii="Calibri" w:hAnsi="Calibri"/>
        <w:sz w:val="20"/>
        <w:szCs w:val="20"/>
      </w:rPr>
      <w:t xml:space="preserve"> Jacobus de Meerdere te Lonneker</w:t>
    </w:r>
    <w:r>
      <w:rPr>
        <w:rFonts w:ascii="Calibri" w:hAnsi="Calibri"/>
        <w:sz w:val="20"/>
        <w:szCs w:val="20"/>
      </w:rPr>
      <w:t xml:space="preserve"> |</w:t>
    </w:r>
    <w:r w:rsidRPr="00F83F00">
      <w:rPr>
        <w:rFonts w:ascii="Calibri" w:hAnsi="Calibri"/>
        <w:sz w:val="20"/>
        <w:szCs w:val="20"/>
      </w:rPr>
      <w:t xml:space="preserve"> H</w:t>
    </w:r>
    <w:r>
      <w:rPr>
        <w:rFonts w:ascii="Calibri" w:hAnsi="Calibri"/>
        <w:sz w:val="20"/>
        <w:szCs w:val="20"/>
      </w:rPr>
      <w:t>.</w:t>
    </w:r>
    <w:r w:rsidRPr="00F83F00">
      <w:rPr>
        <w:rFonts w:ascii="Calibri" w:hAnsi="Calibri"/>
        <w:sz w:val="20"/>
        <w:szCs w:val="20"/>
      </w:rPr>
      <w:t xml:space="preserve"> Gerardus Majella te Overdinkel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2DB" w:rsidRDefault="008702DB" w:rsidP="009B0B19">
      <w:r>
        <w:separator/>
      </w:r>
    </w:p>
  </w:footnote>
  <w:footnote w:type="continuationSeparator" w:id="0">
    <w:p w:rsidR="008702DB" w:rsidRDefault="008702DB" w:rsidP="009B0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24D9C"/>
    <w:multiLevelType w:val="singleLevel"/>
    <w:tmpl w:val="0413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DB5CB3"/>
    <w:rsid w:val="00014316"/>
    <w:rsid w:val="00027B40"/>
    <w:rsid w:val="000450C0"/>
    <w:rsid w:val="00086D67"/>
    <w:rsid w:val="000B2FF2"/>
    <w:rsid w:val="000D1D4F"/>
    <w:rsid w:val="000D2BE7"/>
    <w:rsid w:val="00101E8B"/>
    <w:rsid w:val="00103C61"/>
    <w:rsid w:val="00103EE8"/>
    <w:rsid w:val="00112EBE"/>
    <w:rsid w:val="00124765"/>
    <w:rsid w:val="001460AE"/>
    <w:rsid w:val="00152748"/>
    <w:rsid w:val="0020654B"/>
    <w:rsid w:val="002112B1"/>
    <w:rsid w:val="00213097"/>
    <w:rsid w:val="00232931"/>
    <w:rsid w:val="002367D3"/>
    <w:rsid w:val="00243A54"/>
    <w:rsid w:val="00267E19"/>
    <w:rsid w:val="0029716A"/>
    <w:rsid w:val="00315AFD"/>
    <w:rsid w:val="00317392"/>
    <w:rsid w:val="00333E20"/>
    <w:rsid w:val="00381A45"/>
    <w:rsid w:val="003E1A15"/>
    <w:rsid w:val="003E1AA4"/>
    <w:rsid w:val="004032BB"/>
    <w:rsid w:val="0041772C"/>
    <w:rsid w:val="00425ACC"/>
    <w:rsid w:val="00490AD9"/>
    <w:rsid w:val="004C79D4"/>
    <w:rsid w:val="004D0938"/>
    <w:rsid w:val="00521EF2"/>
    <w:rsid w:val="0055076F"/>
    <w:rsid w:val="005646DC"/>
    <w:rsid w:val="005B6F1E"/>
    <w:rsid w:val="005D74EF"/>
    <w:rsid w:val="005E1664"/>
    <w:rsid w:val="005F2510"/>
    <w:rsid w:val="006215D3"/>
    <w:rsid w:val="006539D9"/>
    <w:rsid w:val="006572E4"/>
    <w:rsid w:val="00667724"/>
    <w:rsid w:val="00675F13"/>
    <w:rsid w:val="006A4180"/>
    <w:rsid w:val="006A5128"/>
    <w:rsid w:val="006E12A9"/>
    <w:rsid w:val="006F181A"/>
    <w:rsid w:val="007142D0"/>
    <w:rsid w:val="00724EE6"/>
    <w:rsid w:val="0075173F"/>
    <w:rsid w:val="007855D7"/>
    <w:rsid w:val="00786E08"/>
    <w:rsid w:val="007973EF"/>
    <w:rsid w:val="007A347B"/>
    <w:rsid w:val="007B3BFC"/>
    <w:rsid w:val="00803FC2"/>
    <w:rsid w:val="00826F8C"/>
    <w:rsid w:val="00842964"/>
    <w:rsid w:val="008702DB"/>
    <w:rsid w:val="00874142"/>
    <w:rsid w:val="00886640"/>
    <w:rsid w:val="008D0992"/>
    <w:rsid w:val="008D389D"/>
    <w:rsid w:val="008E36FF"/>
    <w:rsid w:val="00911104"/>
    <w:rsid w:val="00920A60"/>
    <w:rsid w:val="00921D42"/>
    <w:rsid w:val="00935817"/>
    <w:rsid w:val="00947C89"/>
    <w:rsid w:val="00952BDD"/>
    <w:rsid w:val="0096179E"/>
    <w:rsid w:val="009B0B19"/>
    <w:rsid w:val="009F4239"/>
    <w:rsid w:val="009F5E38"/>
    <w:rsid w:val="00A011D7"/>
    <w:rsid w:val="00A07385"/>
    <w:rsid w:val="00A454A8"/>
    <w:rsid w:val="00A50E76"/>
    <w:rsid w:val="00A62A3D"/>
    <w:rsid w:val="00AB71ED"/>
    <w:rsid w:val="00AD4945"/>
    <w:rsid w:val="00B060EA"/>
    <w:rsid w:val="00B15BB5"/>
    <w:rsid w:val="00B3438C"/>
    <w:rsid w:val="00B41AE2"/>
    <w:rsid w:val="00BF2AB6"/>
    <w:rsid w:val="00C01F6E"/>
    <w:rsid w:val="00C032D6"/>
    <w:rsid w:val="00C07011"/>
    <w:rsid w:val="00C3401B"/>
    <w:rsid w:val="00C35818"/>
    <w:rsid w:val="00C4715B"/>
    <w:rsid w:val="00C53321"/>
    <w:rsid w:val="00C62112"/>
    <w:rsid w:val="00C85AF2"/>
    <w:rsid w:val="00CA6960"/>
    <w:rsid w:val="00CA7BC3"/>
    <w:rsid w:val="00CC2979"/>
    <w:rsid w:val="00CE2741"/>
    <w:rsid w:val="00CF36DB"/>
    <w:rsid w:val="00D301CA"/>
    <w:rsid w:val="00D345C5"/>
    <w:rsid w:val="00D67CE9"/>
    <w:rsid w:val="00D7727F"/>
    <w:rsid w:val="00D77560"/>
    <w:rsid w:val="00D95820"/>
    <w:rsid w:val="00D96BBF"/>
    <w:rsid w:val="00D97C7B"/>
    <w:rsid w:val="00DB5CB3"/>
    <w:rsid w:val="00DC5265"/>
    <w:rsid w:val="00E00FA1"/>
    <w:rsid w:val="00E203D7"/>
    <w:rsid w:val="00E45745"/>
    <w:rsid w:val="00E56385"/>
    <w:rsid w:val="00EA3BC0"/>
    <w:rsid w:val="00EB188F"/>
    <w:rsid w:val="00EC58AC"/>
    <w:rsid w:val="00EE7F31"/>
    <w:rsid w:val="00F26098"/>
    <w:rsid w:val="00F30996"/>
    <w:rsid w:val="00F62496"/>
    <w:rsid w:val="00F643F2"/>
    <w:rsid w:val="00F83F00"/>
    <w:rsid w:val="00F93CA6"/>
    <w:rsid w:val="00FD34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1AE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103EE8"/>
    <w:rPr>
      <w:b/>
      <w:bCs/>
    </w:rPr>
  </w:style>
  <w:style w:type="paragraph" w:styleId="Koptekst">
    <w:name w:val="header"/>
    <w:basedOn w:val="Standaard"/>
    <w:link w:val="KoptekstChar"/>
    <w:uiPriority w:val="99"/>
    <w:unhideWhenUsed/>
    <w:rsid w:val="009B0B19"/>
    <w:pPr>
      <w:tabs>
        <w:tab w:val="center" w:pos="4536"/>
        <w:tab w:val="right" w:pos="9072"/>
      </w:tabs>
    </w:pPr>
  </w:style>
  <w:style w:type="character" w:customStyle="1" w:styleId="KoptekstChar">
    <w:name w:val="Koptekst Char"/>
    <w:link w:val="Koptekst"/>
    <w:uiPriority w:val="99"/>
    <w:rsid w:val="009B0B19"/>
    <w:rPr>
      <w:sz w:val="24"/>
      <w:szCs w:val="24"/>
    </w:rPr>
  </w:style>
  <w:style w:type="paragraph" w:styleId="Voettekst">
    <w:name w:val="footer"/>
    <w:basedOn w:val="Standaard"/>
    <w:link w:val="VoettekstChar"/>
    <w:uiPriority w:val="99"/>
    <w:unhideWhenUsed/>
    <w:rsid w:val="009B0B19"/>
    <w:pPr>
      <w:tabs>
        <w:tab w:val="center" w:pos="4536"/>
        <w:tab w:val="right" w:pos="9072"/>
      </w:tabs>
    </w:pPr>
  </w:style>
  <w:style w:type="character" w:customStyle="1" w:styleId="VoettekstChar">
    <w:name w:val="Voettekst Char"/>
    <w:link w:val="Voettekst"/>
    <w:uiPriority w:val="99"/>
    <w:rsid w:val="009B0B19"/>
    <w:rPr>
      <w:sz w:val="24"/>
      <w:szCs w:val="24"/>
    </w:rPr>
  </w:style>
  <w:style w:type="paragraph" w:styleId="Geenafstand">
    <w:name w:val="No Spacing"/>
    <w:uiPriority w:val="1"/>
    <w:qFormat/>
    <w:rsid w:val="00D96BBF"/>
    <w:rPr>
      <w:rFonts w:ascii="Calibri" w:eastAsia="Calibri" w:hAnsi="Calibri"/>
      <w:sz w:val="22"/>
      <w:szCs w:val="22"/>
      <w:lang w:eastAsia="en-US"/>
    </w:rPr>
  </w:style>
  <w:style w:type="character" w:styleId="Hyperlink">
    <w:name w:val="Hyperlink"/>
    <w:uiPriority w:val="99"/>
    <w:unhideWhenUsed/>
    <w:rsid w:val="001460AE"/>
    <w:rPr>
      <w:color w:val="0000FF"/>
      <w:u w:val="single"/>
    </w:rPr>
  </w:style>
  <w:style w:type="paragraph" w:styleId="Ballontekst">
    <w:name w:val="Balloon Text"/>
    <w:basedOn w:val="Standaard"/>
    <w:link w:val="BallontekstChar"/>
    <w:uiPriority w:val="99"/>
    <w:semiHidden/>
    <w:unhideWhenUsed/>
    <w:rsid w:val="00F83F00"/>
    <w:rPr>
      <w:rFonts w:ascii="Tahoma" w:hAnsi="Tahoma" w:cs="Tahoma"/>
      <w:sz w:val="16"/>
      <w:szCs w:val="16"/>
    </w:rPr>
  </w:style>
  <w:style w:type="character" w:customStyle="1" w:styleId="BallontekstChar">
    <w:name w:val="Ballontekst Char"/>
    <w:link w:val="Ballontekst"/>
    <w:uiPriority w:val="99"/>
    <w:semiHidden/>
    <w:rsid w:val="00F83F00"/>
    <w:rPr>
      <w:rFonts w:ascii="Tahoma" w:hAnsi="Tahoma" w:cs="Tahoma"/>
      <w:sz w:val="16"/>
      <w:szCs w:val="16"/>
    </w:rPr>
  </w:style>
  <w:style w:type="character" w:styleId="Tekstvantijdelijkeaanduiding">
    <w:name w:val="Placeholder Text"/>
    <w:basedOn w:val="Standaardalinea-lettertype"/>
    <w:uiPriority w:val="99"/>
    <w:semiHidden/>
    <w:rsid w:val="000D1D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555580">
      <w:bodyDiv w:val="1"/>
      <w:marLeft w:val="0"/>
      <w:marRight w:val="0"/>
      <w:marTop w:val="0"/>
      <w:marBottom w:val="0"/>
      <w:divBdr>
        <w:top w:val="none" w:sz="0" w:space="0" w:color="auto"/>
        <w:left w:val="none" w:sz="0" w:space="0" w:color="auto"/>
        <w:bottom w:val="none" w:sz="0" w:space="0" w:color="auto"/>
        <w:right w:val="none" w:sz="0" w:space="0" w:color="auto"/>
      </w:divBdr>
      <w:divsChild>
        <w:div w:id="515846931">
          <w:marLeft w:val="0"/>
          <w:marRight w:val="0"/>
          <w:marTop w:val="0"/>
          <w:marBottom w:val="0"/>
          <w:divBdr>
            <w:top w:val="none" w:sz="0" w:space="0" w:color="auto"/>
            <w:left w:val="none" w:sz="0" w:space="0" w:color="auto"/>
            <w:bottom w:val="none" w:sz="0" w:space="0" w:color="auto"/>
            <w:right w:val="none" w:sz="0" w:space="0" w:color="auto"/>
          </w:divBdr>
        </w:div>
        <w:div w:id="545029886">
          <w:marLeft w:val="0"/>
          <w:marRight w:val="0"/>
          <w:marTop w:val="0"/>
          <w:marBottom w:val="0"/>
          <w:divBdr>
            <w:top w:val="none" w:sz="0" w:space="0" w:color="auto"/>
            <w:left w:val="none" w:sz="0" w:space="0" w:color="auto"/>
            <w:bottom w:val="none" w:sz="0" w:space="0" w:color="auto"/>
            <w:right w:val="none" w:sz="0" w:space="0" w:color="auto"/>
          </w:divBdr>
        </w:div>
        <w:div w:id="626740580">
          <w:marLeft w:val="0"/>
          <w:marRight w:val="0"/>
          <w:marTop w:val="0"/>
          <w:marBottom w:val="0"/>
          <w:divBdr>
            <w:top w:val="none" w:sz="0" w:space="0" w:color="auto"/>
            <w:left w:val="none" w:sz="0" w:space="0" w:color="auto"/>
            <w:bottom w:val="none" w:sz="0" w:space="0" w:color="auto"/>
            <w:right w:val="none" w:sz="0" w:space="0" w:color="auto"/>
          </w:divBdr>
        </w:div>
        <w:div w:id="907879487">
          <w:marLeft w:val="0"/>
          <w:marRight w:val="0"/>
          <w:marTop w:val="0"/>
          <w:marBottom w:val="0"/>
          <w:divBdr>
            <w:top w:val="none" w:sz="0" w:space="0" w:color="auto"/>
            <w:left w:val="none" w:sz="0" w:space="0" w:color="auto"/>
            <w:bottom w:val="none" w:sz="0" w:space="0" w:color="auto"/>
            <w:right w:val="none" w:sz="0" w:space="0" w:color="auto"/>
          </w:divBdr>
        </w:div>
        <w:div w:id="1031804070">
          <w:marLeft w:val="0"/>
          <w:marRight w:val="0"/>
          <w:marTop w:val="0"/>
          <w:marBottom w:val="0"/>
          <w:divBdr>
            <w:top w:val="none" w:sz="0" w:space="0" w:color="auto"/>
            <w:left w:val="none" w:sz="0" w:space="0" w:color="auto"/>
            <w:bottom w:val="none" w:sz="0" w:space="0" w:color="auto"/>
            <w:right w:val="none" w:sz="0" w:space="0" w:color="auto"/>
          </w:divBdr>
        </w:div>
        <w:div w:id="1064373525">
          <w:marLeft w:val="0"/>
          <w:marRight w:val="0"/>
          <w:marTop w:val="0"/>
          <w:marBottom w:val="0"/>
          <w:divBdr>
            <w:top w:val="none" w:sz="0" w:space="0" w:color="auto"/>
            <w:left w:val="none" w:sz="0" w:space="0" w:color="auto"/>
            <w:bottom w:val="none" w:sz="0" w:space="0" w:color="auto"/>
            <w:right w:val="none" w:sz="0" w:space="0" w:color="auto"/>
          </w:divBdr>
        </w:div>
        <w:div w:id="1082684649">
          <w:marLeft w:val="0"/>
          <w:marRight w:val="0"/>
          <w:marTop w:val="0"/>
          <w:marBottom w:val="0"/>
          <w:divBdr>
            <w:top w:val="none" w:sz="0" w:space="0" w:color="auto"/>
            <w:left w:val="none" w:sz="0" w:space="0" w:color="auto"/>
            <w:bottom w:val="none" w:sz="0" w:space="0" w:color="auto"/>
            <w:right w:val="none" w:sz="0" w:space="0" w:color="auto"/>
          </w:divBdr>
        </w:div>
        <w:div w:id="1213271508">
          <w:marLeft w:val="0"/>
          <w:marRight w:val="0"/>
          <w:marTop w:val="0"/>
          <w:marBottom w:val="0"/>
          <w:divBdr>
            <w:top w:val="none" w:sz="0" w:space="0" w:color="auto"/>
            <w:left w:val="none" w:sz="0" w:space="0" w:color="auto"/>
            <w:bottom w:val="none" w:sz="0" w:space="0" w:color="auto"/>
            <w:right w:val="none" w:sz="0" w:space="0" w:color="auto"/>
          </w:divBdr>
        </w:div>
        <w:div w:id="1476023958">
          <w:marLeft w:val="0"/>
          <w:marRight w:val="0"/>
          <w:marTop w:val="0"/>
          <w:marBottom w:val="0"/>
          <w:divBdr>
            <w:top w:val="none" w:sz="0" w:space="0" w:color="auto"/>
            <w:left w:val="none" w:sz="0" w:space="0" w:color="auto"/>
            <w:bottom w:val="none" w:sz="0" w:space="0" w:color="auto"/>
            <w:right w:val="none" w:sz="0" w:space="0" w:color="auto"/>
          </w:divBdr>
        </w:div>
        <w:div w:id="1556042782">
          <w:marLeft w:val="0"/>
          <w:marRight w:val="0"/>
          <w:marTop w:val="0"/>
          <w:marBottom w:val="0"/>
          <w:divBdr>
            <w:top w:val="none" w:sz="0" w:space="0" w:color="auto"/>
            <w:left w:val="none" w:sz="0" w:space="0" w:color="auto"/>
            <w:bottom w:val="none" w:sz="0" w:space="0" w:color="auto"/>
            <w:right w:val="none" w:sz="0" w:space="0" w:color="auto"/>
          </w:divBdr>
        </w:div>
        <w:div w:id="1616054352">
          <w:marLeft w:val="0"/>
          <w:marRight w:val="0"/>
          <w:marTop w:val="0"/>
          <w:marBottom w:val="0"/>
          <w:divBdr>
            <w:top w:val="none" w:sz="0" w:space="0" w:color="auto"/>
            <w:left w:val="none" w:sz="0" w:space="0" w:color="auto"/>
            <w:bottom w:val="none" w:sz="0" w:space="0" w:color="auto"/>
            <w:right w:val="none" w:sz="0" w:space="0" w:color="auto"/>
          </w:divBdr>
        </w:div>
        <w:div w:id="1848247835">
          <w:marLeft w:val="0"/>
          <w:marRight w:val="0"/>
          <w:marTop w:val="0"/>
          <w:marBottom w:val="0"/>
          <w:divBdr>
            <w:top w:val="none" w:sz="0" w:space="0" w:color="auto"/>
            <w:left w:val="none" w:sz="0" w:space="0" w:color="auto"/>
            <w:bottom w:val="none" w:sz="0" w:space="0" w:color="auto"/>
            <w:right w:val="none" w:sz="0" w:space="0" w:color="auto"/>
          </w:divBdr>
        </w:div>
        <w:div w:id="1889684996">
          <w:marLeft w:val="0"/>
          <w:marRight w:val="0"/>
          <w:marTop w:val="0"/>
          <w:marBottom w:val="0"/>
          <w:divBdr>
            <w:top w:val="none" w:sz="0" w:space="0" w:color="auto"/>
            <w:left w:val="none" w:sz="0" w:space="0" w:color="auto"/>
            <w:bottom w:val="none" w:sz="0" w:space="0" w:color="auto"/>
            <w:right w:val="none" w:sz="0" w:space="0" w:color="auto"/>
          </w:divBdr>
        </w:div>
        <w:div w:id="1965118896">
          <w:marLeft w:val="0"/>
          <w:marRight w:val="0"/>
          <w:marTop w:val="0"/>
          <w:marBottom w:val="0"/>
          <w:divBdr>
            <w:top w:val="none" w:sz="0" w:space="0" w:color="auto"/>
            <w:left w:val="none" w:sz="0" w:space="0" w:color="auto"/>
            <w:bottom w:val="none" w:sz="0" w:space="0" w:color="auto"/>
            <w:right w:val="none" w:sz="0" w:space="0" w:color="auto"/>
          </w:divBdr>
        </w:div>
      </w:divsChild>
    </w:div>
    <w:div w:id="488523131">
      <w:bodyDiv w:val="1"/>
      <w:marLeft w:val="0"/>
      <w:marRight w:val="0"/>
      <w:marTop w:val="0"/>
      <w:marBottom w:val="0"/>
      <w:divBdr>
        <w:top w:val="none" w:sz="0" w:space="0" w:color="auto"/>
        <w:left w:val="none" w:sz="0" w:space="0" w:color="auto"/>
        <w:bottom w:val="none" w:sz="0" w:space="0" w:color="auto"/>
        <w:right w:val="none" w:sz="0" w:space="0" w:color="auto"/>
      </w:divBdr>
    </w:div>
    <w:div w:id="1134563770">
      <w:bodyDiv w:val="1"/>
      <w:marLeft w:val="0"/>
      <w:marRight w:val="0"/>
      <w:marTop w:val="0"/>
      <w:marBottom w:val="0"/>
      <w:divBdr>
        <w:top w:val="none" w:sz="0" w:space="0" w:color="auto"/>
        <w:left w:val="none" w:sz="0" w:space="0" w:color="auto"/>
        <w:bottom w:val="none" w:sz="0" w:space="0" w:color="auto"/>
        <w:right w:val="none" w:sz="0" w:space="0" w:color="auto"/>
      </w:divBdr>
    </w:div>
    <w:div w:id="21288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brief parochiebestuur</vt:lpstr>
    </vt:vector>
  </TitlesOfParts>
  <Company>Dekenaat Twente Zuid</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parochiebestuur</dc:title>
  <dc:creator>Annette Veltman</dc:creator>
  <cp:lastModifiedBy>cigma Automatisering</cp:lastModifiedBy>
  <cp:revision>2</cp:revision>
  <cp:lastPrinted>2017-11-15T08:59:00Z</cp:lastPrinted>
  <dcterms:created xsi:type="dcterms:W3CDTF">2017-11-28T10:56:00Z</dcterms:created>
  <dcterms:modified xsi:type="dcterms:W3CDTF">2017-11-28T10:56:00Z</dcterms:modified>
</cp:coreProperties>
</file>